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C5" w:rsidRPr="00B96FC5" w:rsidRDefault="00B96FC5" w:rsidP="00B96FC5">
      <w:pPr>
        <w:spacing w:after="0" w:line="264" w:lineRule="atLeast"/>
        <w:outlineLvl w:val="0"/>
        <w:rPr>
          <w:rFonts w:ascii="Arial" w:eastAsia="Times New Roman" w:hAnsi="Arial" w:cs="Arial"/>
          <w:b/>
          <w:bCs/>
          <w:color w:val="323232"/>
          <w:spacing w:val="-5"/>
          <w:kern w:val="36"/>
          <w:sz w:val="61"/>
          <w:szCs w:val="61"/>
        </w:rPr>
      </w:pPr>
      <w:proofErr w:type="spellStart"/>
      <w:proofErr w:type="gramStart"/>
      <w:r w:rsidRPr="00B96FC5">
        <w:rPr>
          <w:rFonts w:ascii="Arial" w:eastAsia="Times New Roman" w:hAnsi="Arial" w:cs="Arial"/>
          <w:b/>
          <w:bCs/>
          <w:color w:val="323232"/>
          <w:spacing w:val="-5"/>
          <w:kern w:val="36"/>
          <w:sz w:val="61"/>
          <w:szCs w:val="61"/>
        </w:rPr>
        <w:t>nanocrystal</w:t>
      </w:r>
      <w:proofErr w:type="spellEnd"/>
      <w:proofErr w:type="gramEnd"/>
    </w:p>
    <w:p w:rsidR="00B96FC5" w:rsidRPr="00B96FC5" w:rsidRDefault="00B96FC5" w:rsidP="00B96F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96FC5" w:rsidRPr="00B96FC5" w:rsidRDefault="00B96FC5" w:rsidP="00B96FC5">
      <w:pPr>
        <w:spacing w:after="0" w:line="348" w:lineRule="atLeast"/>
        <w:rPr>
          <w:rFonts w:ascii="Arial" w:eastAsia="Times New Roman" w:hAnsi="Arial" w:cs="Arial"/>
          <w:color w:val="A6A6A6"/>
          <w:sz w:val="17"/>
          <w:szCs w:val="17"/>
        </w:rPr>
      </w:pPr>
      <w:hyperlink r:id="rId5" w:history="1">
        <w:r w:rsidRPr="00B96FC5">
          <w:rPr>
            <w:rFonts w:ascii="Arial" w:eastAsia="Times New Roman" w:hAnsi="Arial" w:cs="Arial"/>
            <w:color w:val="0000FF"/>
            <w:sz w:val="17"/>
          </w:rPr>
          <w:t>WhatIs.com</w:t>
        </w:r>
      </w:hyperlink>
    </w:p>
    <w:p w:rsidR="00B96FC5" w:rsidRPr="00B96FC5" w:rsidRDefault="00B96FC5" w:rsidP="00B96FC5">
      <w:pPr>
        <w:spacing w:line="240" w:lineRule="auto"/>
        <w:rPr>
          <w:rFonts w:ascii="Arial" w:eastAsia="Times New Roman" w:hAnsi="Arial" w:cs="Arial"/>
          <w:color w:val="323232"/>
          <w:sz w:val="23"/>
          <w:szCs w:val="23"/>
        </w:rPr>
      </w:pPr>
      <w:hyperlink r:id="rId6" w:history="1">
        <w:r w:rsidRPr="00B96FC5">
          <w:rPr>
            <w:rFonts w:ascii="Arial" w:eastAsia="Times New Roman" w:hAnsi="Arial" w:cs="Arial"/>
            <w:b/>
            <w:bCs/>
            <w:color w:val="00B3AC"/>
            <w:sz w:val="24"/>
            <w:szCs w:val="24"/>
          </w:rPr>
          <w:t> </w:t>
        </w:r>
      </w:hyperlink>
      <w:hyperlink r:id="rId7" w:history="1">
        <w:r w:rsidRPr="00B96FC5">
          <w:rPr>
            <w:rFonts w:ascii="Arial" w:eastAsia="Times New Roman" w:hAnsi="Arial" w:cs="Arial"/>
            <w:b/>
            <w:bCs/>
            <w:color w:val="00B3AC"/>
            <w:sz w:val="24"/>
            <w:szCs w:val="24"/>
          </w:rPr>
          <w:t> </w:t>
        </w:r>
      </w:hyperlink>
    </w:p>
    <w:p w:rsidR="00B96FC5" w:rsidRPr="00B96FC5" w:rsidRDefault="00B96FC5" w:rsidP="00B96FC5">
      <w:pPr>
        <w:shd w:val="clear" w:color="auto" w:fill="FFFFFF"/>
        <w:spacing w:after="360" w:line="401" w:lineRule="atLeast"/>
        <w:rPr>
          <w:rFonts w:ascii="Arial" w:eastAsia="Times New Roman" w:hAnsi="Arial" w:cs="Arial"/>
          <w:color w:val="6C6C6C"/>
          <w:sz w:val="28"/>
          <w:szCs w:val="28"/>
        </w:rPr>
      </w:pPr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A </w:t>
      </w:r>
      <w:proofErr w:type="spellStart"/>
      <w:r w:rsidRPr="00B96FC5">
        <w:rPr>
          <w:rFonts w:ascii="Arial" w:eastAsia="Times New Roman" w:hAnsi="Arial" w:cs="Arial"/>
          <w:color w:val="6C6C6C"/>
          <w:sz w:val="28"/>
          <w:szCs w:val="28"/>
        </w:rPr>
        <w:t>nanocrystal</w:t>
      </w:r>
      <w:proofErr w:type="spellEnd"/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 is a crystalline particle with at least one dimension measuring less than 1000 nanometers (nm), where 1 nm is defined as 1 thousand-millionth of a meter (10</w:t>
      </w:r>
      <w:r w:rsidRPr="00B96FC5">
        <w:rPr>
          <w:rFonts w:ascii="Arial" w:eastAsia="Times New Roman" w:hAnsi="Arial" w:cs="Arial"/>
          <w:color w:val="6C6C6C"/>
          <w:sz w:val="21"/>
          <w:szCs w:val="21"/>
          <w:vertAlign w:val="superscript"/>
        </w:rPr>
        <w:t>-9</w:t>
      </w:r>
      <w:r w:rsidRPr="00B96FC5">
        <w:rPr>
          <w:rFonts w:ascii="Arial" w:eastAsia="Times New Roman" w:hAnsi="Arial" w:cs="Arial"/>
          <w:color w:val="6C6C6C"/>
          <w:sz w:val="28"/>
          <w:szCs w:val="28"/>
        </w:rPr>
        <w:t> m).</w:t>
      </w:r>
    </w:p>
    <w:p w:rsidR="00B96FC5" w:rsidRPr="00B96FC5" w:rsidRDefault="00B96FC5" w:rsidP="00B96FC5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8"/>
          <w:szCs w:val="28"/>
        </w:rPr>
      </w:pPr>
      <w:proofErr w:type="spellStart"/>
      <w:r w:rsidRPr="00B96FC5">
        <w:rPr>
          <w:rFonts w:ascii="Arial" w:eastAsia="Times New Roman" w:hAnsi="Arial" w:cs="Arial"/>
          <w:color w:val="6C6C6C"/>
          <w:sz w:val="28"/>
          <w:szCs w:val="28"/>
        </w:rPr>
        <w:t>Nanocrystals</w:t>
      </w:r>
      <w:proofErr w:type="spellEnd"/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 have a wide variety of proven and potential applications. They have been used in the manufacture of filters that refine crude oil into diesel fuel. </w:t>
      </w:r>
      <w:proofErr w:type="spellStart"/>
      <w:r w:rsidRPr="00B96FC5">
        <w:rPr>
          <w:rFonts w:ascii="Arial" w:eastAsia="Times New Roman" w:hAnsi="Arial" w:cs="Arial"/>
          <w:color w:val="6C6C6C"/>
          <w:sz w:val="28"/>
          <w:szCs w:val="28"/>
        </w:rPr>
        <w:t>Nanocrystals</w:t>
      </w:r>
      <w:proofErr w:type="spellEnd"/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 can also be layered and applied to flexible substrates to produce solar panels. </w:t>
      </w:r>
      <w:proofErr w:type="gramStart"/>
      <w:r w:rsidRPr="00B96FC5">
        <w:rPr>
          <w:rFonts w:ascii="Arial" w:eastAsia="Times New Roman" w:hAnsi="Arial" w:cs="Arial"/>
          <w:color w:val="6C6C6C"/>
          <w:sz w:val="28"/>
          <w:szCs w:val="28"/>
        </w:rPr>
        <w:t>Research at the University of Queensland (Australia) have</w:t>
      </w:r>
      <w:proofErr w:type="gramEnd"/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 yielded promising results in this field. </w:t>
      </w:r>
      <w:proofErr w:type="spellStart"/>
      <w:r w:rsidRPr="00B96FC5">
        <w:rPr>
          <w:rFonts w:ascii="Arial" w:eastAsia="Times New Roman" w:hAnsi="Arial" w:cs="Arial"/>
          <w:color w:val="6C6C6C"/>
          <w:sz w:val="28"/>
          <w:szCs w:val="28"/>
        </w:rPr>
        <w:t>Titania</w:t>
      </w:r>
      <w:proofErr w:type="spellEnd"/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 </w:t>
      </w:r>
      <w:proofErr w:type="spellStart"/>
      <w:r w:rsidRPr="00B96FC5">
        <w:rPr>
          <w:rFonts w:ascii="Arial" w:eastAsia="Times New Roman" w:hAnsi="Arial" w:cs="Arial"/>
          <w:color w:val="6C6C6C"/>
          <w:sz w:val="28"/>
          <w:szCs w:val="28"/>
        </w:rPr>
        <w:t>nanocrystals</w:t>
      </w:r>
      <w:proofErr w:type="spellEnd"/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 can be suspended in liquid form and applied to surfaces, making it possible to literally paint a solar panel onto an exterior wall or roof.</w:t>
      </w:r>
    </w:p>
    <w:p w:rsidR="00B96FC5" w:rsidRPr="00B96FC5" w:rsidRDefault="00B96FC5" w:rsidP="00B96FC5">
      <w:pPr>
        <w:shd w:val="clear" w:color="auto" w:fill="FFFFFF"/>
        <w:spacing w:before="360" w:after="360" w:line="401" w:lineRule="atLeast"/>
        <w:rPr>
          <w:rFonts w:ascii="Arial" w:eastAsia="Times New Roman" w:hAnsi="Arial" w:cs="Arial"/>
          <w:color w:val="6C6C6C"/>
          <w:sz w:val="28"/>
          <w:szCs w:val="28"/>
        </w:rPr>
      </w:pPr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Possible future uses of </w:t>
      </w:r>
      <w:proofErr w:type="spellStart"/>
      <w:r w:rsidRPr="00B96FC5">
        <w:rPr>
          <w:rFonts w:ascii="Arial" w:eastAsia="Times New Roman" w:hAnsi="Arial" w:cs="Arial"/>
          <w:color w:val="6C6C6C"/>
          <w:sz w:val="28"/>
          <w:szCs w:val="28"/>
        </w:rPr>
        <w:t>nanocrystals</w:t>
      </w:r>
      <w:proofErr w:type="spellEnd"/>
      <w:r w:rsidRPr="00B96FC5">
        <w:rPr>
          <w:rFonts w:ascii="Arial" w:eastAsia="Times New Roman" w:hAnsi="Arial" w:cs="Arial"/>
          <w:color w:val="6C6C6C"/>
          <w:sz w:val="28"/>
          <w:szCs w:val="28"/>
        </w:rPr>
        <w:t xml:space="preserve"> include: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Production of hydrogen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Removal of pollutants and toxins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Medical imaging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Bio-tags for gene identification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Drug manufacture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Protein analysis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Flat-panel displays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Illumination</w:t>
      </w:r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Optical and infrared </w:t>
      </w:r>
      <w:hyperlink r:id="rId8" w:history="1">
        <w:r w:rsidRPr="00B96FC5">
          <w:rPr>
            <w:rFonts w:ascii="Arial" w:eastAsia="Times New Roman" w:hAnsi="Arial" w:cs="Arial"/>
            <w:color w:val="00B3AC"/>
            <w:sz w:val="28"/>
            <w:u w:val="single"/>
          </w:rPr>
          <w:t>lasers</w:t>
        </w:r>
      </w:hyperlink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r w:rsidRPr="00B96FC5">
        <w:rPr>
          <w:rFonts w:ascii="Arial" w:eastAsia="Times New Roman" w:hAnsi="Arial" w:cs="Arial"/>
          <w:color w:val="666666"/>
          <w:sz w:val="28"/>
          <w:szCs w:val="28"/>
        </w:rPr>
        <w:t>Optoisolators</w:t>
      </w:r>
      <w:proofErr w:type="spellEnd"/>
    </w:p>
    <w:p w:rsidR="00B96FC5" w:rsidRP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lastRenderedPageBreak/>
        <w:t>Magneto-optical memory chips</w:t>
      </w:r>
    </w:p>
    <w:p w:rsidR="00B96FC5" w:rsidRDefault="00B96FC5" w:rsidP="00B96FC5">
      <w:pPr>
        <w:numPr>
          <w:ilvl w:val="0"/>
          <w:numId w:val="2"/>
        </w:num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  <w:r w:rsidRPr="00B96FC5">
        <w:rPr>
          <w:rFonts w:ascii="Arial" w:eastAsia="Times New Roman" w:hAnsi="Arial" w:cs="Arial"/>
          <w:color w:val="666666"/>
          <w:sz w:val="28"/>
          <w:szCs w:val="28"/>
        </w:rPr>
        <w:t>Self-organized smart materials.</w:t>
      </w:r>
    </w:p>
    <w:p w:rsidR="00B96FC5" w:rsidRPr="00B96FC5" w:rsidRDefault="00B96FC5" w:rsidP="00B96FC5">
      <w:pPr>
        <w:shd w:val="clear" w:color="auto" w:fill="FFFFFF"/>
        <w:spacing w:before="153" w:after="153" w:line="401" w:lineRule="atLeast"/>
        <w:ind w:left="383"/>
        <w:rPr>
          <w:rFonts w:ascii="Arial" w:eastAsia="Times New Roman" w:hAnsi="Arial" w:cs="Arial"/>
          <w:color w:val="666666"/>
          <w:sz w:val="28"/>
          <w:szCs w:val="28"/>
        </w:rPr>
      </w:pPr>
    </w:p>
    <w:p w:rsidR="00B96FC5" w:rsidRDefault="00B96FC5" w:rsidP="00B96FC5">
      <w:pPr>
        <w:pStyle w:val="Heading2"/>
        <w:pBdr>
          <w:bottom w:val="single" w:sz="6" w:space="0" w:color="97B0C8"/>
        </w:pBdr>
        <w:shd w:val="clear" w:color="auto" w:fill="FFFFFF"/>
        <w:spacing w:before="270" w:line="267" w:lineRule="atLeast"/>
        <w:rPr>
          <w:rFonts w:ascii="Arial" w:hAnsi="Arial" w:cs="Arial"/>
          <w:b w:val="0"/>
          <w:bCs w:val="0"/>
          <w:color w:val="985735"/>
          <w:sz w:val="27"/>
          <w:szCs w:val="27"/>
        </w:rPr>
      </w:pPr>
      <w:r>
        <w:rPr>
          <w:rFonts w:ascii="Arial" w:hAnsi="Arial" w:cs="Arial"/>
          <w:b w:val="0"/>
          <w:bCs w:val="0"/>
          <w:color w:val="985735"/>
          <w:sz w:val="27"/>
          <w:szCs w:val="27"/>
        </w:rPr>
        <w:t xml:space="preserve">Properties of </w:t>
      </w:r>
      <w:proofErr w:type="spellStart"/>
      <w:r>
        <w:rPr>
          <w:rFonts w:ascii="Arial" w:hAnsi="Arial" w:cs="Arial"/>
          <w:b w:val="0"/>
          <w:bCs w:val="0"/>
          <w:color w:val="985735"/>
          <w:sz w:val="27"/>
          <w:szCs w:val="27"/>
        </w:rPr>
        <w:t>nanocrystals</w:t>
      </w:r>
      <w:proofErr w:type="spellEnd"/>
    </w:p>
    <w:p w:rsidR="00B96FC5" w:rsidRDefault="00B96FC5" w:rsidP="00B96FC5">
      <w:pPr>
        <w:pStyle w:val="p"/>
        <w:shd w:val="clear" w:color="auto" w:fill="FFFFFF"/>
        <w:spacing w:before="166" w:beforeAutospacing="0" w:after="166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The main reasons for the increased dissolution velocity and thus increased bioavailability are:</w:t>
      </w:r>
    </w:p>
    <w:p w:rsidR="00B96FC5" w:rsidRDefault="00B96FC5" w:rsidP="00B96FC5">
      <w:pPr>
        <w:pStyle w:val="Heading3"/>
        <w:shd w:val="clear" w:color="auto" w:fill="FFFFFF"/>
        <w:spacing w:before="308" w:after="154" w:line="300" w:lineRule="atLeast"/>
        <w:rPr>
          <w:rFonts w:ascii="Arial" w:hAnsi="Arial" w:cs="Arial"/>
          <w:b w:val="0"/>
          <w:bCs w:val="0"/>
          <w:color w:val="724128"/>
          <w:sz w:val="25"/>
          <w:szCs w:val="25"/>
        </w:rPr>
      </w:pPr>
      <w:r>
        <w:rPr>
          <w:rFonts w:ascii="Arial" w:hAnsi="Arial" w:cs="Arial"/>
          <w:b w:val="0"/>
          <w:bCs w:val="0"/>
          <w:color w:val="724128"/>
          <w:sz w:val="25"/>
          <w:szCs w:val="25"/>
        </w:rPr>
        <w:t>Increase of dissolution velocity by surface area enlargement</w:t>
      </w:r>
    </w:p>
    <w:p w:rsidR="00B96FC5" w:rsidRDefault="00B96FC5" w:rsidP="00B96FC5">
      <w:pPr>
        <w:pStyle w:val="p"/>
        <w:shd w:val="clear" w:color="auto" w:fill="FFFFFF"/>
        <w:spacing w:before="166" w:beforeAutospacing="0" w:after="166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The size reduction leads to an increased surface area and thus according to the Noyes-Whitney equation (</w:t>
      </w:r>
      <w:hyperlink r:id="rId9" w:anchor="b44-ijn-3-295" w:history="1">
        <w:r>
          <w:rPr>
            <w:rStyle w:val="Hyperlink"/>
            <w:color w:val="642A8F"/>
            <w:sz w:val="25"/>
            <w:szCs w:val="25"/>
          </w:rPr>
          <w:t>Noyes and Whitney 1897</w:t>
        </w:r>
      </w:hyperlink>
      <w:r>
        <w:rPr>
          <w:color w:val="000000"/>
          <w:sz w:val="25"/>
          <w:szCs w:val="25"/>
        </w:rPr>
        <w:t xml:space="preserve">) to an increased dissolution velocity. Therefore </w:t>
      </w:r>
      <w:proofErr w:type="spellStart"/>
      <w:r>
        <w:rPr>
          <w:color w:val="000000"/>
          <w:sz w:val="25"/>
          <w:szCs w:val="25"/>
        </w:rPr>
        <w:t>micronization</w:t>
      </w:r>
      <w:proofErr w:type="spellEnd"/>
      <w:r>
        <w:rPr>
          <w:color w:val="000000"/>
          <w:sz w:val="25"/>
          <w:szCs w:val="25"/>
        </w:rPr>
        <w:t xml:space="preserve"> is a suitable way to successfully enhance the bioavailability of drugs where the dissolution velocity is the rate limiting step. By moving from </w:t>
      </w:r>
      <w:proofErr w:type="spellStart"/>
      <w:r>
        <w:rPr>
          <w:color w:val="000000"/>
          <w:sz w:val="25"/>
          <w:szCs w:val="25"/>
        </w:rPr>
        <w:t>micronization</w:t>
      </w:r>
      <w:proofErr w:type="spellEnd"/>
      <w:r>
        <w:rPr>
          <w:color w:val="000000"/>
          <w:sz w:val="25"/>
          <w:szCs w:val="25"/>
        </w:rPr>
        <w:t xml:space="preserve"> further down to </w:t>
      </w:r>
      <w:proofErr w:type="spellStart"/>
      <w:r>
        <w:rPr>
          <w:color w:val="000000"/>
          <w:sz w:val="25"/>
          <w:szCs w:val="25"/>
        </w:rPr>
        <w:t>nanonization</w:t>
      </w:r>
      <w:proofErr w:type="spellEnd"/>
      <w:r>
        <w:rPr>
          <w:color w:val="000000"/>
          <w:sz w:val="25"/>
          <w:szCs w:val="25"/>
        </w:rPr>
        <w:t>, the particle surface is further increased and thus the dissolution velocity increases too. In most cases, a low dissolution velocity is correlated with low saturation solubility (</w:t>
      </w:r>
      <w:hyperlink r:id="rId10" w:tgtFrame="figure" w:history="1">
        <w:r>
          <w:rPr>
            <w:rStyle w:val="Hyperlink"/>
            <w:color w:val="642A8F"/>
            <w:sz w:val="25"/>
            <w:szCs w:val="25"/>
          </w:rPr>
          <w:t>Figure 1</w:t>
        </w:r>
      </w:hyperlink>
      <w:r>
        <w:rPr>
          <w:color w:val="000000"/>
          <w:sz w:val="25"/>
          <w:szCs w:val="25"/>
        </w:rPr>
        <w:t>).</w:t>
      </w:r>
    </w:p>
    <w:p w:rsidR="00B96FC5" w:rsidRDefault="00B96FC5" w:rsidP="00B96FC5">
      <w:pPr>
        <w:shd w:val="clear" w:color="auto" w:fill="FFFCF0"/>
        <w:jc w:val="center"/>
        <w:rPr>
          <w:rStyle w:val="Hyperlink"/>
          <w:color w:val="642A8F"/>
          <w:u w:val="none"/>
          <w:bdr w:val="none" w:sz="0" w:space="0" w:color="auto" w:frame="1"/>
        </w:rPr>
      </w:pPr>
      <w:r>
        <w:rPr>
          <w:color w:val="000000"/>
          <w:sz w:val="25"/>
          <w:szCs w:val="25"/>
        </w:rPr>
        <w:fldChar w:fldCharType="begin"/>
      </w:r>
      <w:r>
        <w:rPr>
          <w:color w:val="000000"/>
          <w:sz w:val="25"/>
          <w:szCs w:val="25"/>
        </w:rPr>
        <w:instrText xml:space="preserve"> HYPERLINK "https://www.ncbi.nlm.nih.gov/core/lw/2.0/html/tileshop_pmc/tileshop_pmc_inline.html?title=Click%20on%20image%20to%20zoom&amp;p=PMC3&amp;id=2626933_ijn-3-295f1.jpg" \t "tileshopwindow" </w:instrText>
      </w:r>
      <w:r>
        <w:rPr>
          <w:color w:val="000000"/>
          <w:sz w:val="25"/>
          <w:szCs w:val="25"/>
        </w:rPr>
        <w:fldChar w:fldCharType="separate"/>
      </w:r>
    </w:p>
    <w:p w:rsidR="00B96FC5" w:rsidRDefault="00B96FC5" w:rsidP="00B96FC5">
      <w:pPr>
        <w:shd w:val="clear" w:color="auto" w:fill="FFFCF0"/>
        <w:jc w:val="center"/>
        <w:rPr>
          <w:color w:val="000000"/>
        </w:rPr>
      </w:pPr>
      <w:r>
        <w:rPr>
          <w:noProof/>
          <w:color w:val="642A8F"/>
          <w:sz w:val="25"/>
          <w:szCs w:val="25"/>
          <w:bdr w:val="none" w:sz="0" w:space="0" w:color="auto" w:frame="1"/>
        </w:rPr>
        <w:drawing>
          <wp:inline distT="0" distB="0" distL="0" distR="0">
            <wp:extent cx="5243195" cy="1955165"/>
            <wp:effectExtent l="19050" t="0" r="0" b="0"/>
            <wp:docPr id="3" name="Picture 3" descr="An external file that holds a picture, illustration, etc.&#10;Object name is ijn-3-295f1.jpg">
              <a:hlinkClick xmlns:a="http://schemas.openxmlformats.org/drawingml/2006/main" r:id="rId11" tgtFrame="&quot;tileshop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external file that holds a picture, illustration, etc.&#10;Object name is ijn-3-295f1.jpg">
                      <a:hlinkClick r:id="rId11" tgtFrame="&quot;tileshop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5"/>
        </w:rPr>
        <w:fldChar w:fldCharType="end"/>
      </w:r>
    </w:p>
    <w:p w:rsidR="00B96FC5" w:rsidRDefault="00B96FC5" w:rsidP="00B96FC5">
      <w:pPr>
        <w:shd w:val="clear" w:color="auto" w:fill="FFFCF0"/>
        <w:textAlignment w:val="top"/>
        <w:rPr>
          <w:color w:val="666666"/>
          <w:sz w:val="23"/>
          <w:szCs w:val="23"/>
        </w:rPr>
      </w:pPr>
      <w:hyperlink r:id="rId13" w:tgtFrame="figure" w:history="1">
        <w:r>
          <w:rPr>
            <w:rStyle w:val="Hyperlink"/>
            <w:color w:val="642A8F"/>
            <w:sz w:val="23"/>
            <w:szCs w:val="23"/>
          </w:rPr>
          <w:t>Figure 1</w:t>
        </w:r>
      </w:hyperlink>
    </w:p>
    <w:p w:rsidR="00B96FC5" w:rsidRDefault="00B96FC5" w:rsidP="00B96FC5">
      <w:pPr>
        <w:pStyle w:val="NormalWeb"/>
        <w:shd w:val="clear" w:color="auto" w:fill="FFFCF0"/>
        <w:spacing w:before="166" w:beforeAutospacing="0" w:after="166" w:afterAutospacing="0"/>
        <w:textAlignment w:val="top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Surface enlargement and increase in number of crystals by particle size diminution.</w:t>
      </w:r>
    </w:p>
    <w:p w:rsidR="00B96FC5" w:rsidRDefault="00B96FC5" w:rsidP="00B96FC5">
      <w:pPr>
        <w:pStyle w:val="NormalWeb"/>
        <w:shd w:val="clear" w:color="auto" w:fill="FFFCF0"/>
        <w:spacing w:before="166" w:beforeAutospacing="0" w:after="166" w:afterAutospacing="0"/>
        <w:textAlignment w:val="top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Used with permission from </w:t>
      </w:r>
      <w:proofErr w:type="spellStart"/>
      <w:r>
        <w:rPr>
          <w:color w:val="666666"/>
          <w:sz w:val="23"/>
          <w:szCs w:val="23"/>
        </w:rPr>
        <w:fldChar w:fldCharType="begin"/>
      </w:r>
      <w:r>
        <w:rPr>
          <w:color w:val="666666"/>
          <w:sz w:val="23"/>
          <w:szCs w:val="23"/>
        </w:rPr>
        <w:instrText xml:space="preserve"> HYPERLINK "https://www.ncbi.nlm.nih.gov/pmc/articles/PMC2626933/" \l "b17-ijn-3-295" </w:instrText>
      </w:r>
      <w:r>
        <w:rPr>
          <w:color w:val="666666"/>
          <w:sz w:val="23"/>
          <w:szCs w:val="23"/>
        </w:rPr>
        <w:fldChar w:fldCharType="separate"/>
      </w:r>
      <w:r>
        <w:rPr>
          <w:rStyle w:val="Hyperlink"/>
          <w:color w:val="642A8F"/>
          <w:sz w:val="23"/>
          <w:szCs w:val="23"/>
        </w:rPr>
        <w:t>Junghanns</w:t>
      </w:r>
      <w:proofErr w:type="spellEnd"/>
      <w:r>
        <w:rPr>
          <w:rStyle w:val="Hyperlink"/>
          <w:color w:val="642A8F"/>
          <w:sz w:val="23"/>
          <w:szCs w:val="23"/>
        </w:rPr>
        <w:t xml:space="preserve"> (2006)</w:t>
      </w:r>
      <w:r>
        <w:rPr>
          <w:color w:val="666666"/>
          <w:sz w:val="23"/>
          <w:szCs w:val="23"/>
        </w:rPr>
        <w:fldChar w:fldCharType="end"/>
      </w:r>
      <w:r>
        <w:rPr>
          <w:color w:val="666666"/>
          <w:sz w:val="23"/>
          <w:szCs w:val="23"/>
        </w:rPr>
        <w:t>.</w:t>
      </w:r>
    </w:p>
    <w:p w:rsidR="00B96FC5" w:rsidRDefault="00B96FC5" w:rsidP="00B96FC5">
      <w:pPr>
        <w:pStyle w:val="Heading3"/>
        <w:shd w:val="clear" w:color="auto" w:fill="FFFFFF"/>
        <w:spacing w:before="308" w:after="154" w:line="300" w:lineRule="atLeast"/>
        <w:rPr>
          <w:rFonts w:ascii="Arial" w:hAnsi="Arial" w:cs="Arial"/>
          <w:b w:val="0"/>
          <w:bCs w:val="0"/>
          <w:color w:val="724128"/>
          <w:sz w:val="25"/>
          <w:szCs w:val="25"/>
        </w:rPr>
      </w:pPr>
      <w:r>
        <w:rPr>
          <w:rFonts w:ascii="Arial" w:hAnsi="Arial" w:cs="Arial"/>
          <w:b w:val="0"/>
          <w:bCs w:val="0"/>
          <w:color w:val="724128"/>
          <w:sz w:val="25"/>
          <w:szCs w:val="25"/>
        </w:rPr>
        <w:t>Increase in saturation solubility</w:t>
      </w:r>
    </w:p>
    <w:p w:rsidR="00B96FC5" w:rsidRDefault="00B96FC5" w:rsidP="00B96FC5">
      <w:pPr>
        <w:pStyle w:val="p"/>
        <w:shd w:val="clear" w:color="auto" w:fill="FFFFFF"/>
        <w:spacing w:before="166" w:beforeAutospacing="0" w:after="166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The general textbook statement is that the saturation solubility </w:t>
      </w:r>
      <w:proofErr w:type="spellStart"/>
      <w:proofErr w:type="gramStart"/>
      <w:r>
        <w:rPr>
          <w:color w:val="000000"/>
          <w:sz w:val="25"/>
          <w:szCs w:val="25"/>
        </w:rPr>
        <w:t>c</w:t>
      </w:r>
      <w:r>
        <w:rPr>
          <w:color w:val="000000"/>
          <w:sz w:val="21"/>
          <w:szCs w:val="21"/>
          <w:vertAlign w:val="subscript"/>
        </w:rPr>
        <w:t>s</w:t>
      </w:r>
      <w:proofErr w:type="spellEnd"/>
      <w:r>
        <w:rPr>
          <w:color w:val="000000"/>
          <w:sz w:val="25"/>
          <w:szCs w:val="25"/>
        </w:rPr>
        <w:t> is</w:t>
      </w:r>
      <w:proofErr w:type="gramEnd"/>
      <w:r>
        <w:rPr>
          <w:color w:val="000000"/>
          <w:sz w:val="25"/>
          <w:szCs w:val="25"/>
        </w:rPr>
        <w:t xml:space="preserve"> a constant depending on the compound, the dissolution medium and the temperature. This is valid for powders of daily life with a size in the micrometer range or above. However, below a critical size of 1–2 </w:t>
      </w:r>
      <w:proofErr w:type="spellStart"/>
      <w:r>
        <w:rPr>
          <w:color w:val="000000"/>
          <w:sz w:val="25"/>
          <w:szCs w:val="25"/>
        </w:rPr>
        <w:t>μm</w:t>
      </w:r>
      <w:proofErr w:type="spellEnd"/>
      <w:r>
        <w:rPr>
          <w:color w:val="000000"/>
          <w:sz w:val="25"/>
          <w:szCs w:val="25"/>
        </w:rPr>
        <w:t xml:space="preserve">, the saturation solubility is also a function of the particle size. It increases with </w:t>
      </w:r>
      <w:r>
        <w:rPr>
          <w:color w:val="000000"/>
          <w:sz w:val="25"/>
          <w:szCs w:val="25"/>
        </w:rPr>
        <w:lastRenderedPageBreak/>
        <w:t xml:space="preserve">decreasing particle size below 1000 nm. Therefore, drug </w:t>
      </w:r>
      <w:proofErr w:type="spellStart"/>
      <w:r>
        <w:rPr>
          <w:color w:val="000000"/>
          <w:sz w:val="25"/>
          <w:szCs w:val="25"/>
        </w:rPr>
        <w:t>nanocrystals</w:t>
      </w:r>
      <w:proofErr w:type="spellEnd"/>
      <w:r>
        <w:rPr>
          <w:color w:val="000000"/>
          <w:sz w:val="25"/>
          <w:szCs w:val="25"/>
        </w:rPr>
        <w:t xml:space="preserve"> possess increased saturation solubility.</w:t>
      </w:r>
    </w:p>
    <w:p w:rsidR="008C6139" w:rsidRDefault="008C6139"/>
    <w:sectPr w:rsidR="008C6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F2775"/>
    <w:multiLevelType w:val="multilevel"/>
    <w:tmpl w:val="E11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25D1A"/>
    <w:multiLevelType w:val="multilevel"/>
    <w:tmpl w:val="D11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96FC5"/>
    <w:rsid w:val="008C6139"/>
    <w:rsid w:val="00B9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F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96F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C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F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Normal"/>
    <w:rsid w:val="00B9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731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5285">
                  <w:marLeft w:val="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3897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565">
          <w:marLeft w:val="0"/>
          <w:marRight w:val="0"/>
          <w:marTop w:val="332"/>
          <w:marBottom w:val="332"/>
          <w:divBdr>
            <w:top w:val="single" w:sz="6" w:space="17" w:color="EAC3AF"/>
            <w:left w:val="single" w:sz="6" w:space="17" w:color="EAC3AF"/>
            <w:bottom w:val="single" w:sz="6" w:space="17" w:color="EAC3AF"/>
            <w:right w:val="single" w:sz="6" w:space="17" w:color="EAC3AF"/>
          </w:divBdr>
          <w:divsChild>
            <w:div w:id="260456339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is.techtarget.com/definition/laser" TargetMode="External"/><Relationship Id="rId13" Type="http://schemas.openxmlformats.org/officeDocument/2006/relationships/hyperlink" Target="https://www.ncbi.nlm.nih.gov/pmc/articles/PMC2626933/figure/f1-ijn-3-2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rgaretrous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whatisdotcom" TargetMode="External"/><Relationship Id="rId11" Type="http://schemas.openxmlformats.org/officeDocument/2006/relationships/hyperlink" Target="https://www.ncbi.nlm.nih.gov/core/lw/2.0/html/tileshop_pmc/tileshop_pmc_inline.html?title=Click%20on%20image%20to%20zoom&amp;p=PMC3&amp;id=2626933_ijn-3-295f1.jpg" TargetMode="External"/><Relationship Id="rId5" Type="http://schemas.openxmlformats.org/officeDocument/2006/relationships/hyperlink" Target="https://whatis.techtarget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mc/articles/PMC2626933/figure/f1-ijn-3-2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26269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2020-02-18T06:04:00Z</dcterms:created>
  <dcterms:modified xsi:type="dcterms:W3CDTF">2020-02-18T06:06:00Z</dcterms:modified>
</cp:coreProperties>
</file>